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1A363" w14:textId="5C3AAC3A" w:rsidR="0086424C" w:rsidRPr="00D312A3" w:rsidRDefault="005D4E3C" w:rsidP="00D312A3">
      <w:pPr>
        <w:ind w:firstLine="426"/>
        <w:jc w:val="center"/>
      </w:pPr>
      <w:r>
        <w:t>Пример</w:t>
      </w:r>
      <w:r w:rsidR="00D312A3">
        <w:t xml:space="preserve"> документа</w:t>
      </w:r>
    </w:p>
    <w:p w14:paraId="2D813720" w14:textId="77777777" w:rsidR="00D312A3" w:rsidRDefault="00D312A3">
      <w:pPr>
        <w:ind w:firstLine="426"/>
        <w:jc w:val="center"/>
        <w:rPr>
          <w:b/>
          <w:bCs/>
          <w:color w:val="000000"/>
          <w:lang w:val="en-US"/>
        </w:rPr>
      </w:pPr>
    </w:p>
    <w:p w14:paraId="0FC5EDC7" w14:textId="77777777" w:rsidR="0086424C" w:rsidRPr="00D312A3" w:rsidRDefault="00145AF4">
      <w:pPr>
        <w:ind w:firstLine="426"/>
        <w:jc w:val="center"/>
        <w:rPr>
          <w:i/>
          <w:sz w:val="28"/>
          <w:szCs w:val="28"/>
        </w:rPr>
      </w:pPr>
      <w:r w:rsidRPr="00D312A3">
        <w:rPr>
          <w:bCs/>
          <w:i/>
          <w:color w:val="000000"/>
          <w:sz w:val="28"/>
          <w:szCs w:val="28"/>
        </w:rPr>
        <w:t>Протокол определения областей технической компетентности ИЛ для ПК (МСИ)</w:t>
      </w:r>
    </w:p>
    <w:p w14:paraId="373F927B" w14:textId="77777777" w:rsidR="0086424C" w:rsidRDefault="0086424C">
      <w:pPr>
        <w:jc w:val="center"/>
      </w:pPr>
    </w:p>
    <w:tbl>
      <w:tblPr>
        <w:tblStyle w:val="aa"/>
        <w:tblpPr w:leftFromText="180" w:rightFromText="180" w:vertAnchor="text" w:tblpY="1"/>
        <w:tblOverlap w:val="never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76"/>
        <w:gridCol w:w="1731"/>
        <w:gridCol w:w="1617"/>
        <w:gridCol w:w="1621"/>
        <w:gridCol w:w="2867"/>
        <w:gridCol w:w="860"/>
        <w:gridCol w:w="1610"/>
        <w:gridCol w:w="964"/>
        <w:gridCol w:w="1474"/>
        <w:gridCol w:w="1466"/>
      </w:tblGrid>
      <w:tr w:rsidR="0086424C" w14:paraId="1F91FCCB" w14:textId="77777777" w:rsidTr="00A41B1C">
        <w:tc>
          <w:tcPr>
            <w:tcW w:w="577" w:type="dxa"/>
          </w:tcPr>
          <w:p w14:paraId="1CE35273" w14:textId="77777777" w:rsidR="0086424C" w:rsidRDefault="00145AF4" w:rsidP="005D4E3C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1739" w:type="dxa"/>
          </w:tcPr>
          <w:p w14:paraId="57DED07B" w14:textId="77777777" w:rsidR="0086424C" w:rsidRDefault="00145AF4" w:rsidP="005D4E3C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Область технической компетентности</w:t>
            </w:r>
          </w:p>
        </w:tc>
        <w:tc>
          <w:tcPr>
            <w:tcW w:w="1625" w:type="dxa"/>
          </w:tcPr>
          <w:p w14:paraId="19F0DC32" w14:textId="77777777" w:rsidR="0086424C" w:rsidRDefault="00145AF4" w:rsidP="005D4E3C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Методики из ОА</w:t>
            </w:r>
          </w:p>
        </w:tc>
        <w:tc>
          <w:tcPr>
            <w:tcW w:w="1629" w:type="dxa"/>
          </w:tcPr>
          <w:p w14:paraId="483C3804" w14:textId="77777777" w:rsidR="0086424C" w:rsidRDefault="00145AF4" w:rsidP="005D4E3C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Объекты</w:t>
            </w:r>
          </w:p>
        </w:tc>
        <w:tc>
          <w:tcPr>
            <w:tcW w:w="2882" w:type="dxa"/>
            <w:tcBorders>
              <w:right w:val="nil"/>
            </w:tcBorders>
          </w:tcPr>
          <w:p w14:paraId="493DC0BA" w14:textId="77777777" w:rsidR="0086424C" w:rsidRDefault="00145AF4" w:rsidP="005D4E3C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864" w:type="dxa"/>
            <w:tcBorders>
              <w:right w:val="nil"/>
            </w:tcBorders>
          </w:tcPr>
          <w:p w14:paraId="61178027" w14:textId="77777777" w:rsidR="0086424C" w:rsidRDefault="00145AF4" w:rsidP="005D4E3C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Количество проб (измерений) в год</w:t>
            </w:r>
          </w:p>
        </w:tc>
        <w:tc>
          <w:tcPr>
            <w:tcW w:w="1618" w:type="dxa"/>
            <w:tcBorders>
              <w:right w:val="nil"/>
            </w:tcBorders>
          </w:tcPr>
          <w:p w14:paraId="5D9C372D" w14:textId="77777777" w:rsidR="0086424C" w:rsidRDefault="00145AF4" w:rsidP="005D4E3C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Методы ВЛК (</w:t>
            </w:r>
            <w:proofErr w:type="gramStart"/>
            <w:r>
              <w:rPr>
                <w:b/>
                <w:bCs/>
                <w:color w:val="000000"/>
              </w:rPr>
              <w:t>СО</w:t>
            </w:r>
            <w:proofErr w:type="gramEnd"/>
            <w:r>
              <w:rPr>
                <w:b/>
                <w:bCs/>
                <w:color w:val="000000"/>
              </w:rPr>
              <w:t>, рабочие пробы, ККШ)</w:t>
            </w:r>
          </w:p>
        </w:tc>
        <w:tc>
          <w:tcPr>
            <w:tcW w:w="968" w:type="dxa"/>
            <w:tcBorders>
              <w:right w:val="nil"/>
            </w:tcBorders>
          </w:tcPr>
          <w:p w14:paraId="4CFD9F79" w14:textId="77777777" w:rsidR="0086424C" w:rsidRDefault="00145AF4" w:rsidP="005D4E3C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Кол-во несоответствий за год</w:t>
            </w:r>
          </w:p>
        </w:tc>
        <w:tc>
          <w:tcPr>
            <w:tcW w:w="1481" w:type="dxa"/>
            <w:tcBorders>
              <w:right w:val="nil"/>
            </w:tcBorders>
          </w:tcPr>
          <w:p w14:paraId="38DBD4E7" w14:textId="77777777" w:rsidR="0086424C" w:rsidRDefault="00145AF4" w:rsidP="005D4E3C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Итоговый риск</w:t>
            </w:r>
          </w:p>
        </w:tc>
        <w:tc>
          <w:tcPr>
            <w:tcW w:w="1473" w:type="dxa"/>
          </w:tcPr>
          <w:p w14:paraId="648363A1" w14:textId="77777777" w:rsidR="0086424C" w:rsidRDefault="00145AF4" w:rsidP="005D4E3C">
            <w:pPr>
              <w:widowControl w:val="0"/>
            </w:pPr>
            <w:r>
              <w:rPr>
                <w:rFonts w:ascii="TimesNewRomanPSMT" w:eastAsiaTheme="minorHAnsi" w:hAnsi="TimesNewRomanPSMT" w:cs="TimesNewRomanPSMT"/>
                <w:b/>
                <w:bCs/>
                <w:color w:val="000000"/>
                <w:lang w:eastAsia="en-US"/>
              </w:rPr>
              <w:t>Периодичность ПК (МСИ)</w:t>
            </w:r>
          </w:p>
        </w:tc>
      </w:tr>
      <w:tr w:rsidR="0086424C" w14:paraId="145A81B3" w14:textId="77777777" w:rsidTr="00A41B1C">
        <w:tc>
          <w:tcPr>
            <w:tcW w:w="577" w:type="dxa"/>
            <w:vMerge w:val="restart"/>
            <w:vAlign w:val="center"/>
          </w:tcPr>
          <w:p w14:paraId="3E9BC167" w14:textId="77777777" w:rsidR="0086424C" w:rsidRDefault="00145AF4" w:rsidP="005D4E3C">
            <w:pPr>
              <w:widowControl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39" w:type="dxa"/>
            <w:vMerge w:val="restart"/>
            <w:vAlign w:val="center"/>
          </w:tcPr>
          <w:p w14:paraId="78575518" w14:textId="77777777" w:rsidR="0086424C" w:rsidRDefault="00145AF4" w:rsidP="005D4E3C">
            <w:pPr>
              <w:widowControl w:val="0"/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Химические испытания,</w:t>
            </w:r>
          </w:p>
          <w:p w14:paraId="49688144" w14:textId="77777777" w:rsidR="0086424C" w:rsidRDefault="00145AF4" w:rsidP="005D4E3C">
            <w:pPr>
              <w:widowControl w:val="0"/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физико-химические</w:t>
            </w:r>
          </w:p>
          <w:p w14:paraId="4933D7CF" w14:textId="77777777" w:rsidR="0086424C" w:rsidRDefault="00145AF4" w:rsidP="005D4E3C">
            <w:pPr>
              <w:widowControl w:val="0"/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испытания;</w:t>
            </w:r>
          </w:p>
          <w:p w14:paraId="64EAEC53" w14:textId="22226D5D" w:rsidR="0086424C" w:rsidRDefault="00D312A3" w:rsidP="005D4E3C">
            <w:pPr>
              <w:widowControl w:val="0"/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23791AF9" w14:textId="0EF30D8F" w:rsidR="0086424C" w:rsidRPr="00A41B1C" w:rsidRDefault="00A41B1C" w:rsidP="005D4E3C">
            <w:pPr>
              <w:widowControl w:val="0"/>
              <w:spacing w:line="320" w:lineRule="atLeast"/>
              <w:jc w:val="center"/>
              <w:outlineLvl w:val="0"/>
              <w:rPr>
                <w:i/>
              </w:rPr>
            </w:pPr>
            <w:r w:rsidRPr="00A41B1C">
              <w:rPr>
                <w:i/>
                <w:color w:val="000000"/>
                <w:kern w:val="2"/>
              </w:rPr>
              <w:t>«Заполнить»</w:t>
            </w:r>
            <w:r w:rsidR="00D312A3" w:rsidRPr="00A41B1C">
              <w:rPr>
                <w:i/>
                <w:color w:val="000000"/>
                <w:kern w:val="2"/>
              </w:rPr>
              <w:t xml:space="preserve"> </w:t>
            </w:r>
          </w:p>
        </w:tc>
        <w:tc>
          <w:tcPr>
            <w:tcW w:w="1629" w:type="dxa"/>
            <w:vAlign w:val="center"/>
          </w:tcPr>
          <w:p w14:paraId="780C8EBB" w14:textId="77777777" w:rsidR="0086424C" w:rsidRDefault="00145AF4" w:rsidP="005D4E3C">
            <w:pPr>
              <w:widowControl w:val="0"/>
              <w:jc w:val="center"/>
            </w:pPr>
            <w:r>
              <w:rPr>
                <w:rFonts w:eastAsia="TimesNewRomanPSMT"/>
                <w:color w:val="000000"/>
                <w:lang w:eastAsia="en-US"/>
              </w:rPr>
              <w:t>Воздух рабочей зоны</w:t>
            </w:r>
          </w:p>
        </w:tc>
        <w:tc>
          <w:tcPr>
            <w:tcW w:w="2882" w:type="dxa"/>
            <w:tcBorders>
              <w:right w:val="nil"/>
            </w:tcBorders>
          </w:tcPr>
          <w:p w14:paraId="4390A0D9" w14:textId="13909F12" w:rsidR="0086424C" w:rsidRPr="00A41B1C" w:rsidRDefault="00A41B1C" w:rsidP="005D4E3C">
            <w:pPr>
              <w:widowControl w:val="0"/>
              <w:rPr>
                <w:i/>
              </w:rPr>
            </w:pPr>
            <w:r w:rsidRPr="00A41B1C">
              <w:rPr>
                <w:rFonts w:ascii="TimesNewRomanPSMT" w:eastAsiaTheme="minorHAnsi" w:hAnsi="TimesNewRomanPSMT" w:cs="TimesNewRomanPSMT"/>
                <w:i/>
                <w:color w:val="000000"/>
                <w:lang w:eastAsia="en-US"/>
              </w:rPr>
              <w:t xml:space="preserve"> «Заполнить»</w:t>
            </w:r>
          </w:p>
        </w:tc>
        <w:tc>
          <w:tcPr>
            <w:tcW w:w="864" w:type="dxa"/>
            <w:tcBorders>
              <w:right w:val="nil"/>
            </w:tcBorders>
          </w:tcPr>
          <w:p w14:paraId="1E777981" w14:textId="336000FA" w:rsidR="0086424C" w:rsidRDefault="00D312A3" w:rsidP="005D4E3C">
            <w:pPr>
              <w:widowControl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5</w:t>
            </w:r>
          </w:p>
        </w:tc>
        <w:tc>
          <w:tcPr>
            <w:tcW w:w="1618" w:type="dxa"/>
            <w:tcBorders>
              <w:right w:val="nil"/>
            </w:tcBorders>
          </w:tcPr>
          <w:p w14:paraId="687D0714" w14:textId="4F0FC6A0" w:rsidR="0086424C" w:rsidRPr="00A41B1C" w:rsidRDefault="00A41B1C" w:rsidP="005D4E3C">
            <w:pPr>
              <w:widowControl w:val="0"/>
              <w:jc w:val="center"/>
              <w:rPr>
                <w:i/>
              </w:rPr>
            </w:pPr>
            <w:r w:rsidRPr="00A41B1C">
              <w:rPr>
                <w:rFonts w:eastAsia="TimesNewRomanPSMT" w:cs="TimesNewRomanPSMT"/>
                <w:i/>
                <w:color w:val="000000"/>
                <w:lang w:eastAsia="en-US"/>
              </w:rPr>
              <w:t>«Заполнить»</w:t>
            </w:r>
            <w:r w:rsidR="00D312A3" w:rsidRPr="00A41B1C">
              <w:rPr>
                <w:rFonts w:eastAsia="TimesNewRomanPSMT" w:cs="TimesNewRomanPSMT"/>
                <w:i/>
                <w:color w:val="000000"/>
                <w:lang w:eastAsia="en-US"/>
              </w:rPr>
              <w:t xml:space="preserve"> </w:t>
            </w:r>
          </w:p>
        </w:tc>
        <w:tc>
          <w:tcPr>
            <w:tcW w:w="968" w:type="dxa"/>
            <w:tcBorders>
              <w:right w:val="nil"/>
            </w:tcBorders>
          </w:tcPr>
          <w:p w14:paraId="1F857378" w14:textId="77777777" w:rsidR="0086424C" w:rsidRDefault="00145AF4" w:rsidP="005D4E3C">
            <w:pPr>
              <w:widowControl w:val="0"/>
              <w:jc w:val="center"/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0</w:t>
            </w:r>
          </w:p>
        </w:tc>
        <w:tc>
          <w:tcPr>
            <w:tcW w:w="1481" w:type="dxa"/>
            <w:vMerge w:val="restart"/>
            <w:tcBorders>
              <w:right w:val="nil"/>
            </w:tcBorders>
          </w:tcPr>
          <w:p w14:paraId="5DAB76F8" w14:textId="77777777" w:rsidR="0086424C" w:rsidRDefault="00145AF4" w:rsidP="005D4E3C">
            <w:pPr>
              <w:widowControl w:val="0"/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Минимальный</w:t>
            </w:r>
          </w:p>
        </w:tc>
        <w:tc>
          <w:tcPr>
            <w:tcW w:w="1473" w:type="dxa"/>
            <w:vMerge w:val="restart"/>
          </w:tcPr>
          <w:p w14:paraId="15FFE0A9" w14:textId="77777777" w:rsidR="0086424C" w:rsidRDefault="00145AF4" w:rsidP="005D4E3C">
            <w:pPr>
              <w:widowControl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1 раз в 5 лет</w:t>
            </w:r>
          </w:p>
        </w:tc>
      </w:tr>
      <w:tr w:rsidR="0086424C" w14:paraId="47F05EFC" w14:textId="77777777" w:rsidTr="00A41B1C">
        <w:tc>
          <w:tcPr>
            <w:tcW w:w="577" w:type="dxa"/>
            <w:vMerge/>
          </w:tcPr>
          <w:p w14:paraId="6F2E5C62" w14:textId="77777777" w:rsidR="0086424C" w:rsidRDefault="0086424C" w:rsidP="005D4E3C">
            <w:pPr>
              <w:widowControl w:val="0"/>
              <w:jc w:val="center"/>
            </w:pPr>
          </w:p>
        </w:tc>
        <w:tc>
          <w:tcPr>
            <w:tcW w:w="1739" w:type="dxa"/>
            <w:vMerge/>
            <w:vAlign w:val="center"/>
          </w:tcPr>
          <w:p w14:paraId="609B09D2" w14:textId="77777777" w:rsidR="0086424C" w:rsidRDefault="0086424C" w:rsidP="005D4E3C">
            <w:pPr>
              <w:widowControl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  <w:tc>
          <w:tcPr>
            <w:tcW w:w="1625" w:type="dxa"/>
            <w:vAlign w:val="center"/>
          </w:tcPr>
          <w:p w14:paraId="36D49E9F" w14:textId="62957033" w:rsidR="0086424C" w:rsidRPr="00A41B1C" w:rsidRDefault="00A41B1C" w:rsidP="005D4E3C">
            <w:pPr>
              <w:widowControl w:val="0"/>
              <w:spacing w:line="320" w:lineRule="atLeast"/>
              <w:jc w:val="center"/>
              <w:outlineLvl w:val="0"/>
              <w:rPr>
                <w:i/>
              </w:rPr>
            </w:pPr>
            <w:r>
              <w:rPr>
                <w:rFonts w:ascii="TimesNewRomanPSMT" w:eastAsiaTheme="minorHAnsi" w:hAnsi="TimesNewRomanPSMT" w:cs="TimesNewRomanPSMT"/>
                <w:i/>
                <w:color w:val="000000"/>
                <w:lang w:eastAsia="en-US"/>
              </w:rPr>
              <w:t>«Заполнить</w:t>
            </w:r>
            <w:r w:rsidRPr="00A41B1C">
              <w:rPr>
                <w:rFonts w:ascii="TimesNewRomanPSMT" w:eastAsiaTheme="minorHAnsi" w:hAnsi="TimesNewRomanPSMT" w:cs="TimesNewRomanPSMT"/>
                <w:i/>
                <w:color w:val="000000"/>
                <w:lang w:eastAsia="en-US"/>
              </w:rPr>
              <w:t>»</w:t>
            </w:r>
            <w:r w:rsidR="00D312A3" w:rsidRPr="00A41B1C">
              <w:rPr>
                <w:rFonts w:ascii="TimesNewRomanPSMT" w:eastAsiaTheme="minorHAnsi" w:hAnsi="TimesNewRomanPSMT" w:cs="TimesNewRomanPSMT"/>
                <w:i/>
                <w:color w:val="000000"/>
                <w:lang w:eastAsia="en-US"/>
              </w:rPr>
              <w:t xml:space="preserve"> </w:t>
            </w:r>
          </w:p>
        </w:tc>
        <w:tc>
          <w:tcPr>
            <w:tcW w:w="1629" w:type="dxa"/>
            <w:vAlign w:val="center"/>
          </w:tcPr>
          <w:p w14:paraId="15D611BB" w14:textId="77777777" w:rsidR="0086424C" w:rsidRDefault="00145AF4" w:rsidP="005D4E3C">
            <w:pPr>
              <w:widowControl w:val="0"/>
              <w:jc w:val="center"/>
            </w:pPr>
            <w:r>
              <w:rPr>
                <w:rFonts w:eastAsia="TimesNewRomanPSMT"/>
                <w:color w:val="000000"/>
                <w:lang w:eastAsia="en-US"/>
              </w:rPr>
              <w:t>Воздух рабочей зоны</w:t>
            </w:r>
          </w:p>
        </w:tc>
        <w:tc>
          <w:tcPr>
            <w:tcW w:w="2882" w:type="dxa"/>
            <w:tcBorders>
              <w:right w:val="nil"/>
            </w:tcBorders>
          </w:tcPr>
          <w:p w14:paraId="64684B85" w14:textId="3C17E8D3" w:rsidR="0086424C" w:rsidRPr="00A41B1C" w:rsidRDefault="00D312A3" w:rsidP="005D4E3C">
            <w:pPr>
              <w:widowControl w:val="0"/>
              <w:rPr>
                <w:i/>
              </w:rPr>
            </w:pPr>
            <w:r w:rsidRPr="00A41B1C">
              <w:rPr>
                <w:rFonts w:ascii="TimesNewRomanPSMT" w:eastAsiaTheme="minorHAnsi" w:hAnsi="TimesNewRomanPSMT" w:cs="TimesNewRomanPSMT"/>
                <w:i/>
                <w:color w:val="000000"/>
                <w:lang w:eastAsia="en-US"/>
              </w:rPr>
              <w:t xml:space="preserve"> </w:t>
            </w:r>
          </w:p>
          <w:p w14:paraId="1026188B" w14:textId="2F708A41" w:rsidR="0086424C" w:rsidRPr="00A41B1C" w:rsidRDefault="00A41B1C" w:rsidP="005D4E3C">
            <w:pPr>
              <w:widowControl w:val="0"/>
              <w:rPr>
                <w:rFonts w:ascii="TimesNewRomanPSMT" w:eastAsiaTheme="minorHAnsi" w:hAnsi="TimesNewRomanPSMT" w:cs="TimesNewRomanPSMT"/>
                <w:i/>
                <w:lang w:eastAsia="en-US"/>
              </w:rPr>
            </w:pPr>
            <w:r w:rsidRPr="00A41B1C">
              <w:rPr>
                <w:rFonts w:ascii="TimesNewRomanPSMT" w:eastAsiaTheme="minorHAnsi" w:hAnsi="TimesNewRomanPSMT" w:cs="TimesNewRomanPSMT"/>
                <w:i/>
                <w:lang w:eastAsia="en-US"/>
              </w:rPr>
              <w:t>«Заполнить»</w:t>
            </w:r>
          </w:p>
        </w:tc>
        <w:tc>
          <w:tcPr>
            <w:tcW w:w="864" w:type="dxa"/>
            <w:tcBorders>
              <w:right w:val="nil"/>
            </w:tcBorders>
          </w:tcPr>
          <w:p w14:paraId="20883D34" w14:textId="277FB9AB" w:rsidR="0086424C" w:rsidRDefault="00D312A3" w:rsidP="005D4E3C">
            <w:pPr>
              <w:widowControl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5</w:t>
            </w:r>
          </w:p>
        </w:tc>
        <w:tc>
          <w:tcPr>
            <w:tcW w:w="1618" w:type="dxa"/>
            <w:tcBorders>
              <w:right w:val="nil"/>
            </w:tcBorders>
          </w:tcPr>
          <w:p w14:paraId="25A0A9EA" w14:textId="0C6262FC" w:rsidR="0086424C" w:rsidRPr="00A41B1C" w:rsidRDefault="00A41B1C" w:rsidP="005D4E3C">
            <w:pPr>
              <w:widowControl w:val="0"/>
              <w:jc w:val="center"/>
              <w:rPr>
                <w:i/>
              </w:rPr>
            </w:pPr>
            <w:r w:rsidRPr="00A41B1C">
              <w:rPr>
                <w:rFonts w:eastAsia="TimesNewRomanPSMT" w:cs="TimesNewRomanPSMT"/>
                <w:i/>
                <w:color w:val="000000"/>
                <w:lang w:eastAsia="en-US"/>
              </w:rPr>
              <w:t>«Заполнить»</w:t>
            </w:r>
            <w:r w:rsidR="00D312A3" w:rsidRPr="00A41B1C">
              <w:rPr>
                <w:rFonts w:eastAsia="TimesNewRomanPSMT" w:cs="TimesNewRomanPSMT"/>
                <w:i/>
                <w:color w:val="000000"/>
                <w:lang w:eastAsia="en-US"/>
              </w:rPr>
              <w:t xml:space="preserve"> </w:t>
            </w:r>
          </w:p>
        </w:tc>
        <w:tc>
          <w:tcPr>
            <w:tcW w:w="968" w:type="dxa"/>
            <w:tcBorders>
              <w:right w:val="nil"/>
            </w:tcBorders>
          </w:tcPr>
          <w:p w14:paraId="1FA34E6D" w14:textId="77777777" w:rsidR="0086424C" w:rsidRDefault="00145AF4" w:rsidP="005D4E3C">
            <w:pPr>
              <w:widowControl w:val="0"/>
              <w:jc w:val="center"/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0</w:t>
            </w:r>
          </w:p>
        </w:tc>
        <w:tc>
          <w:tcPr>
            <w:tcW w:w="1481" w:type="dxa"/>
            <w:vMerge/>
            <w:tcBorders>
              <w:right w:val="nil"/>
            </w:tcBorders>
          </w:tcPr>
          <w:p w14:paraId="57046BF6" w14:textId="77777777" w:rsidR="0086424C" w:rsidRDefault="0086424C" w:rsidP="005D4E3C">
            <w:pPr>
              <w:widowControl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  <w:tc>
          <w:tcPr>
            <w:tcW w:w="1473" w:type="dxa"/>
            <w:vMerge/>
          </w:tcPr>
          <w:p w14:paraId="5FAE9754" w14:textId="77777777" w:rsidR="0086424C" w:rsidRDefault="0086424C" w:rsidP="005D4E3C">
            <w:pPr>
              <w:widowControl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</w:tr>
      <w:tr w:rsidR="00D312A3" w14:paraId="58199D8B" w14:textId="77777777" w:rsidTr="00A41B1C">
        <w:trPr>
          <w:trHeight w:val="1474"/>
        </w:trPr>
        <w:tc>
          <w:tcPr>
            <w:tcW w:w="577" w:type="dxa"/>
            <w:vMerge w:val="restart"/>
          </w:tcPr>
          <w:p w14:paraId="7B77D661" w14:textId="77777777" w:rsidR="00D312A3" w:rsidRDefault="00D312A3" w:rsidP="005D4E3C">
            <w:pPr>
              <w:widowControl w:val="0"/>
              <w:jc w:val="center"/>
            </w:pPr>
            <w:r>
              <w:rPr>
                <w:color w:val="000000"/>
              </w:rPr>
              <w:t xml:space="preserve"> </w:t>
            </w:r>
          </w:p>
          <w:p w14:paraId="3F6839CE" w14:textId="77777777" w:rsidR="00D312A3" w:rsidRDefault="00D312A3" w:rsidP="005D4E3C">
            <w:pPr>
              <w:widowControl w:val="0"/>
              <w:jc w:val="center"/>
            </w:pPr>
          </w:p>
          <w:p w14:paraId="6B78D1D8" w14:textId="59CF556C" w:rsidR="00D312A3" w:rsidRDefault="00D312A3" w:rsidP="005D4E3C">
            <w:pPr>
              <w:widowControl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39" w:type="dxa"/>
            <w:vMerge w:val="restart"/>
          </w:tcPr>
          <w:p w14:paraId="76B7FACA" w14:textId="77777777" w:rsidR="00D312A3" w:rsidRDefault="00D312A3" w:rsidP="005D4E3C">
            <w:pPr>
              <w:widowControl w:val="0"/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Измерение параметров</w:t>
            </w:r>
          </w:p>
          <w:p w14:paraId="0B1D0754" w14:textId="77777777" w:rsidR="00D312A3" w:rsidRDefault="00D312A3" w:rsidP="005D4E3C">
            <w:pPr>
              <w:widowControl w:val="0"/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физических факторов;</w:t>
            </w:r>
          </w:p>
          <w:p w14:paraId="647B287E" w14:textId="3DC06B69" w:rsidR="005D4E3C" w:rsidRPr="00A41B1C" w:rsidRDefault="00D312A3" w:rsidP="005D4E3C">
            <w:pPr>
              <w:widowControl w:val="0"/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измерение шума, звука, вибрации.</w:t>
            </w:r>
          </w:p>
          <w:p w14:paraId="63CD6268" w14:textId="57DEF9F1" w:rsidR="005D4E3C" w:rsidRPr="00A41B1C" w:rsidRDefault="00A41B1C" w:rsidP="005D4E3C">
            <w:pPr>
              <w:widowControl w:val="0"/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измерение освещенност</w:t>
            </w:r>
            <w:r w:rsidR="003F0E07"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ь</w:t>
            </w:r>
            <w:r w:rsidR="00D312A3"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 xml:space="preserve">; </w:t>
            </w:r>
          </w:p>
          <w:p w14:paraId="4C41590B" w14:textId="77777777" w:rsidR="00D312A3" w:rsidRDefault="00D312A3" w:rsidP="005D4E3C">
            <w:pPr>
              <w:widowControl w:val="0"/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Измерение параметров</w:t>
            </w:r>
          </w:p>
          <w:p w14:paraId="59451A8E" w14:textId="47A25041" w:rsidR="005D4E3C" w:rsidRPr="00A41B1C" w:rsidRDefault="00D312A3" w:rsidP="005D4E3C">
            <w:pPr>
              <w:widowControl w:val="0"/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физических факторов;</w:t>
            </w:r>
          </w:p>
          <w:p w14:paraId="19214082" w14:textId="77777777" w:rsidR="00D312A3" w:rsidRDefault="00D312A3" w:rsidP="005D4E3C">
            <w:pPr>
              <w:widowControl w:val="0"/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измерение</w:t>
            </w:r>
          </w:p>
          <w:p w14:paraId="07F6F131" w14:textId="31D4CBE5" w:rsidR="00A41B1C" w:rsidRPr="005D4E3C" w:rsidRDefault="00A41B1C" w:rsidP="00A41B1C">
            <w:pPr>
              <w:widowControl w:val="0"/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электромагнитного поля.</w:t>
            </w:r>
          </w:p>
        </w:tc>
        <w:tc>
          <w:tcPr>
            <w:tcW w:w="1625" w:type="dxa"/>
          </w:tcPr>
          <w:p w14:paraId="30AE7D07" w14:textId="19FE4273" w:rsidR="00D312A3" w:rsidRPr="00A41B1C" w:rsidRDefault="00A41B1C" w:rsidP="00A41B1C">
            <w:pPr>
              <w:widowControl w:val="0"/>
              <w:spacing w:line="320" w:lineRule="atLeast"/>
              <w:outlineLvl w:val="0"/>
              <w:rPr>
                <w:i/>
              </w:rPr>
            </w:pPr>
            <w:r>
              <w:rPr>
                <w:rFonts w:ascii="TimesNewRomanPSMT" w:eastAsiaTheme="minorHAnsi" w:hAnsi="TimesNewRomanPSMT" w:cs="TimesNewRomanPSMT"/>
                <w:i/>
                <w:color w:val="000000"/>
                <w:lang w:eastAsia="en-US"/>
              </w:rPr>
              <w:t>«Заполнить</w:t>
            </w:r>
            <w:r w:rsidRPr="00A41B1C">
              <w:rPr>
                <w:rFonts w:ascii="TimesNewRomanPSMT" w:eastAsiaTheme="minorHAnsi" w:hAnsi="TimesNewRomanPSMT" w:cs="TimesNewRomanPSMT"/>
                <w:i/>
                <w:color w:val="000000"/>
                <w:lang w:eastAsia="en-US"/>
              </w:rPr>
              <w:t>»</w:t>
            </w:r>
            <w:r w:rsidR="005D4E3C" w:rsidRPr="00A41B1C">
              <w:rPr>
                <w:rFonts w:ascii="TimesNewRomanPSMT" w:eastAsiaTheme="minorHAnsi" w:hAnsi="TimesNewRomanPSMT" w:cs="TimesNewRomanPSMT"/>
                <w:i/>
                <w:color w:val="000000"/>
                <w:lang w:eastAsia="en-US"/>
              </w:rPr>
              <w:t xml:space="preserve"> </w:t>
            </w:r>
          </w:p>
        </w:tc>
        <w:tc>
          <w:tcPr>
            <w:tcW w:w="1629" w:type="dxa"/>
          </w:tcPr>
          <w:p w14:paraId="4A9B768B" w14:textId="4E0FE438" w:rsidR="00D312A3" w:rsidRDefault="00D312A3" w:rsidP="005D4E3C">
            <w:pPr>
              <w:widowControl w:val="0"/>
              <w:jc w:val="center"/>
              <w:rPr>
                <w:rFonts w:eastAsia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Рабочие места</w:t>
            </w:r>
          </w:p>
        </w:tc>
        <w:tc>
          <w:tcPr>
            <w:tcW w:w="2882" w:type="dxa"/>
            <w:tcBorders>
              <w:right w:val="nil"/>
            </w:tcBorders>
          </w:tcPr>
          <w:p w14:paraId="5CF552C8" w14:textId="2E332891" w:rsidR="00D312A3" w:rsidRPr="00A41B1C" w:rsidRDefault="00A41B1C" w:rsidP="005D4E3C">
            <w:pPr>
              <w:widowControl w:val="0"/>
              <w:rPr>
                <w:i/>
              </w:rPr>
            </w:pPr>
            <w:r w:rsidRPr="00A41B1C">
              <w:rPr>
                <w:rFonts w:ascii="TimesNewRomanPSMT" w:eastAsiaTheme="minorHAnsi" w:hAnsi="TimesNewRomanPSMT" w:cs="TimesNewRomanPSMT"/>
                <w:i/>
                <w:color w:val="000000"/>
                <w:lang w:eastAsia="en-US"/>
              </w:rPr>
              <w:t>«Заполнить»</w:t>
            </w:r>
          </w:p>
        </w:tc>
        <w:tc>
          <w:tcPr>
            <w:tcW w:w="864" w:type="dxa"/>
            <w:tcBorders>
              <w:right w:val="nil"/>
            </w:tcBorders>
          </w:tcPr>
          <w:p w14:paraId="4A759AEC" w14:textId="39915D8B" w:rsidR="00D312A3" w:rsidRDefault="005D4E3C" w:rsidP="005D4E3C">
            <w:pPr>
              <w:widowControl w:val="0"/>
              <w:rPr>
                <w:rFonts w:eastAsia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12</w:t>
            </w:r>
          </w:p>
        </w:tc>
        <w:tc>
          <w:tcPr>
            <w:tcW w:w="1618" w:type="dxa"/>
            <w:tcBorders>
              <w:right w:val="nil"/>
            </w:tcBorders>
          </w:tcPr>
          <w:p w14:paraId="1CC52887" w14:textId="208913EA" w:rsidR="00D312A3" w:rsidRPr="00A41B1C" w:rsidRDefault="005D4E3C" w:rsidP="005D4E3C">
            <w:pPr>
              <w:widowControl w:val="0"/>
              <w:jc w:val="center"/>
              <w:rPr>
                <w:i/>
              </w:rPr>
            </w:pPr>
            <w:r w:rsidRPr="00A41B1C">
              <w:rPr>
                <w:rFonts w:eastAsia="TimesNewRomanPSMT" w:cs="TimesNewRomanPSMT"/>
                <w:i/>
                <w:color w:val="000000"/>
                <w:lang w:eastAsia="en-US"/>
              </w:rPr>
              <w:t xml:space="preserve"> </w:t>
            </w:r>
            <w:r w:rsidR="00A41B1C" w:rsidRPr="00A41B1C">
              <w:rPr>
                <w:rFonts w:eastAsia="TimesNewRomanPSMT" w:cs="TimesNewRomanPSMT"/>
                <w:i/>
                <w:color w:val="000000"/>
                <w:lang w:eastAsia="en-US"/>
              </w:rPr>
              <w:t xml:space="preserve"> «Заполнить»</w:t>
            </w:r>
          </w:p>
        </w:tc>
        <w:tc>
          <w:tcPr>
            <w:tcW w:w="968" w:type="dxa"/>
            <w:tcBorders>
              <w:right w:val="nil"/>
            </w:tcBorders>
          </w:tcPr>
          <w:p w14:paraId="52B07FE2" w14:textId="75B4124B" w:rsidR="00D312A3" w:rsidRDefault="00D312A3" w:rsidP="005D4E3C">
            <w:pPr>
              <w:widowControl w:val="0"/>
              <w:jc w:val="center"/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0</w:t>
            </w:r>
          </w:p>
        </w:tc>
        <w:tc>
          <w:tcPr>
            <w:tcW w:w="1481" w:type="dxa"/>
            <w:vMerge w:val="restart"/>
            <w:tcBorders>
              <w:right w:val="nil"/>
            </w:tcBorders>
          </w:tcPr>
          <w:p w14:paraId="5826EDD2" w14:textId="170A0A40" w:rsidR="005D4E3C" w:rsidRDefault="00D312A3" w:rsidP="005D4E3C">
            <w:pPr>
              <w:widowControl w:val="0"/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 xml:space="preserve"> </w:t>
            </w:r>
          </w:p>
          <w:p w14:paraId="20E10790" w14:textId="77777777" w:rsidR="005D4E3C" w:rsidRPr="005D4E3C" w:rsidRDefault="005D4E3C" w:rsidP="005D4E3C"/>
          <w:p w14:paraId="7737E588" w14:textId="73EBD782" w:rsidR="005D4E3C" w:rsidRDefault="005D4E3C" w:rsidP="005D4E3C"/>
          <w:p w14:paraId="39B778E8" w14:textId="4EA63EA9" w:rsidR="00D312A3" w:rsidRPr="005D4E3C" w:rsidRDefault="005D4E3C" w:rsidP="005D4E3C">
            <w:pPr>
              <w:jc w:val="center"/>
            </w:pPr>
            <w:r>
              <w:t>Минимальный</w:t>
            </w:r>
          </w:p>
        </w:tc>
        <w:tc>
          <w:tcPr>
            <w:tcW w:w="1473" w:type="dxa"/>
            <w:vMerge w:val="restart"/>
          </w:tcPr>
          <w:p w14:paraId="6FB41E13" w14:textId="77777777" w:rsidR="00D312A3" w:rsidRDefault="00D312A3" w:rsidP="005D4E3C">
            <w:pPr>
              <w:widowControl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1 раз в 5 лет</w:t>
            </w:r>
          </w:p>
          <w:p w14:paraId="7E880C89" w14:textId="77777777" w:rsidR="005D4E3C" w:rsidRDefault="005D4E3C" w:rsidP="005D4E3C">
            <w:pPr>
              <w:widowControl w:val="0"/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</w:pPr>
          </w:p>
          <w:p w14:paraId="002BCE57" w14:textId="77777777" w:rsidR="005D4E3C" w:rsidRDefault="005D4E3C" w:rsidP="005D4E3C">
            <w:pPr>
              <w:widowControl w:val="0"/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</w:pPr>
          </w:p>
          <w:p w14:paraId="2B979149" w14:textId="77777777" w:rsidR="005D4E3C" w:rsidRDefault="005D4E3C" w:rsidP="005D4E3C">
            <w:pPr>
              <w:widowControl w:val="0"/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</w:pPr>
          </w:p>
          <w:p w14:paraId="6BF2B3F0" w14:textId="77777777" w:rsidR="00D312A3" w:rsidRDefault="00D312A3" w:rsidP="005D4E3C">
            <w:pPr>
              <w:widowControl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1 раз в 5 лет</w:t>
            </w:r>
          </w:p>
          <w:p w14:paraId="4455D057" w14:textId="77777777" w:rsidR="005D4E3C" w:rsidRDefault="005D4E3C" w:rsidP="005D4E3C">
            <w:pPr>
              <w:widowControl w:val="0"/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</w:pPr>
          </w:p>
          <w:p w14:paraId="70AD6167" w14:textId="77777777" w:rsidR="005D4E3C" w:rsidRDefault="005D4E3C" w:rsidP="005D4E3C">
            <w:pPr>
              <w:widowControl w:val="0"/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</w:pPr>
          </w:p>
          <w:p w14:paraId="467EAA5F" w14:textId="77777777" w:rsidR="005D4E3C" w:rsidRDefault="005D4E3C" w:rsidP="005D4E3C">
            <w:pPr>
              <w:widowControl w:val="0"/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</w:pPr>
          </w:p>
          <w:p w14:paraId="58EDF3E6" w14:textId="77777777" w:rsidR="00D312A3" w:rsidRDefault="00D312A3" w:rsidP="005D4E3C">
            <w:pPr>
              <w:widowControl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1 раз в 5 лет</w:t>
            </w:r>
          </w:p>
          <w:p w14:paraId="2B267B17" w14:textId="77777777" w:rsidR="005D4E3C" w:rsidRDefault="005D4E3C" w:rsidP="005D4E3C">
            <w:pPr>
              <w:widowControl w:val="0"/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</w:pPr>
          </w:p>
          <w:p w14:paraId="045AE564" w14:textId="77777777" w:rsidR="005D4E3C" w:rsidRDefault="005D4E3C" w:rsidP="005D4E3C">
            <w:pPr>
              <w:widowControl w:val="0"/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</w:pPr>
          </w:p>
          <w:p w14:paraId="2E1EEFDE" w14:textId="77777777" w:rsidR="005D4E3C" w:rsidRDefault="005D4E3C" w:rsidP="005D4E3C">
            <w:pPr>
              <w:widowControl w:val="0"/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</w:pPr>
          </w:p>
          <w:p w14:paraId="3BB2A62E" w14:textId="77777777" w:rsidR="00D312A3" w:rsidRDefault="00D312A3" w:rsidP="005D4E3C">
            <w:pPr>
              <w:widowControl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1 раз в 5 лет</w:t>
            </w:r>
          </w:p>
          <w:p w14:paraId="487EE928" w14:textId="77777777" w:rsidR="005D4E3C" w:rsidRDefault="005D4E3C" w:rsidP="005D4E3C">
            <w:pPr>
              <w:widowControl w:val="0"/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</w:pPr>
          </w:p>
          <w:p w14:paraId="7E87E10E" w14:textId="2685B49F" w:rsidR="00D312A3" w:rsidRDefault="00A41B1C" w:rsidP="005D4E3C">
            <w:pPr>
              <w:widowControl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 xml:space="preserve"> </w:t>
            </w:r>
          </w:p>
          <w:p w14:paraId="077C8196" w14:textId="77777777" w:rsidR="005D4E3C" w:rsidRDefault="005D4E3C" w:rsidP="005D4E3C">
            <w:pPr>
              <w:widowControl w:val="0"/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</w:pPr>
          </w:p>
          <w:p w14:paraId="3DD1C2E2" w14:textId="3D3D9FE4" w:rsidR="00D312A3" w:rsidRDefault="005D4E3C" w:rsidP="005D4E3C">
            <w:pPr>
              <w:widowControl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 xml:space="preserve"> </w:t>
            </w:r>
          </w:p>
          <w:p w14:paraId="20D1BC7D" w14:textId="3ECB8EBE" w:rsidR="00D312A3" w:rsidRDefault="00D312A3" w:rsidP="005D4E3C">
            <w:pPr>
              <w:widowControl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14:paraId="687E80A1" w14:textId="23EE0D7C" w:rsidR="00D312A3" w:rsidRDefault="005D4E3C" w:rsidP="005D4E3C">
            <w:pPr>
              <w:widowControl w:val="0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 xml:space="preserve"> </w:t>
            </w:r>
          </w:p>
        </w:tc>
      </w:tr>
      <w:tr w:rsidR="00D312A3" w14:paraId="09878C81" w14:textId="77777777" w:rsidTr="00A41B1C">
        <w:tc>
          <w:tcPr>
            <w:tcW w:w="577" w:type="dxa"/>
            <w:vMerge/>
          </w:tcPr>
          <w:p w14:paraId="69BDBD67" w14:textId="77777777" w:rsidR="00D312A3" w:rsidRDefault="00D312A3" w:rsidP="005D4E3C">
            <w:pPr>
              <w:widowControl w:val="0"/>
              <w:jc w:val="center"/>
            </w:pPr>
          </w:p>
        </w:tc>
        <w:tc>
          <w:tcPr>
            <w:tcW w:w="1739" w:type="dxa"/>
            <w:vMerge/>
          </w:tcPr>
          <w:p w14:paraId="2F180571" w14:textId="77777777" w:rsidR="00D312A3" w:rsidRDefault="00D312A3" w:rsidP="005D4E3C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625" w:type="dxa"/>
          </w:tcPr>
          <w:p w14:paraId="4D2460B4" w14:textId="7FBB89C6" w:rsidR="00D312A3" w:rsidRPr="00A41B1C" w:rsidRDefault="00A41B1C" w:rsidP="00A41B1C">
            <w:pPr>
              <w:widowControl w:val="0"/>
              <w:rPr>
                <w:i/>
              </w:rPr>
            </w:pPr>
            <w:r>
              <w:rPr>
                <w:rFonts w:ascii="TimesNewRomanPSMT" w:eastAsiaTheme="minorHAnsi" w:hAnsi="TimesNewRomanPSMT" w:cs="TimesNewRomanPSMT"/>
                <w:i/>
                <w:color w:val="000000"/>
                <w:lang w:eastAsia="en-US"/>
              </w:rPr>
              <w:t>«Заполнить</w:t>
            </w:r>
            <w:r w:rsidRPr="00A41B1C">
              <w:rPr>
                <w:rFonts w:ascii="TimesNewRomanPSMT" w:eastAsiaTheme="minorHAnsi" w:hAnsi="TimesNewRomanPSMT" w:cs="TimesNewRomanPSMT"/>
                <w:i/>
                <w:color w:val="000000"/>
                <w:lang w:eastAsia="en-US"/>
              </w:rPr>
              <w:t>»</w:t>
            </w:r>
            <w:r w:rsidR="005D4E3C" w:rsidRPr="00A41B1C">
              <w:rPr>
                <w:rFonts w:ascii="TimesNewRomanPSMT" w:eastAsiaTheme="minorHAnsi" w:hAnsi="TimesNewRomanPSMT" w:cs="TimesNewRomanPSMT"/>
                <w:i/>
                <w:color w:val="000000"/>
                <w:lang w:eastAsia="en-US"/>
              </w:rPr>
              <w:t xml:space="preserve"> </w:t>
            </w:r>
          </w:p>
        </w:tc>
        <w:tc>
          <w:tcPr>
            <w:tcW w:w="1629" w:type="dxa"/>
          </w:tcPr>
          <w:p w14:paraId="2FE3E1CB" w14:textId="77777777" w:rsidR="00D312A3" w:rsidRDefault="00D312A3" w:rsidP="005D4E3C">
            <w:pPr>
              <w:widowControl w:val="0"/>
              <w:jc w:val="center"/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Производственные</w:t>
            </w:r>
          </w:p>
          <w:p w14:paraId="545A0731" w14:textId="77777777" w:rsidR="00D312A3" w:rsidRDefault="00D312A3" w:rsidP="005D4E3C">
            <w:pPr>
              <w:widowControl w:val="0"/>
              <w:jc w:val="center"/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помещения;</w:t>
            </w:r>
          </w:p>
          <w:p w14:paraId="3EA8EEBA" w14:textId="77777777" w:rsidR="00D312A3" w:rsidRDefault="00D312A3" w:rsidP="005D4E3C">
            <w:pPr>
              <w:widowControl w:val="0"/>
              <w:jc w:val="center"/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Рабочие места</w:t>
            </w:r>
          </w:p>
          <w:p w14:paraId="7F5AD076" w14:textId="77777777" w:rsidR="00D312A3" w:rsidRDefault="00D312A3" w:rsidP="005D4E3C">
            <w:pPr>
              <w:widowControl w:val="0"/>
              <w:jc w:val="center"/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Производственные</w:t>
            </w:r>
          </w:p>
          <w:p w14:paraId="079EBACD" w14:textId="59FC3E9E" w:rsidR="00D312A3" w:rsidRDefault="00D312A3" w:rsidP="005D4E3C">
            <w:pPr>
              <w:widowControl w:val="0"/>
              <w:jc w:val="center"/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помещения</w:t>
            </w:r>
          </w:p>
        </w:tc>
        <w:tc>
          <w:tcPr>
            <w:tcW w:w="2882" w:type="dxa"/>
            <w:tcBorders>
              <w:right w:val="nil"/>
            </w:tcBorders>
          </w:tcPr>
          <w:p w14:paraId="2B43A498" w14:textId="3FE684DC" w:rsidR="00D312A3" w:rsidRPr="00A41B1C" w:rsidRDefault="00A41B1C" w:rsidP="005D4E3C">
            <w:pPr>
              <w:widowControl w:val="0"/>
              <w:rPr>
                <w:i/>
              </w:rPr>
            </w:pPr>
            <w:r w:rsidRPr="00A41B1C">
              <w:rPr>
                <w:rFonts w:ascii="TimesNewRomanPSMT" w:eastAsiaTheme="minorHAnsi" w:hAnsi="TimesNewRomanPSMT" w:cs="TimesNewRomanPSMT"/>
                <w:i/>
                <w:color w:val="000000"/>
                <w:lang w:eastAsia="en-US"/>
              </w:rPr>
              <w:t xml:space="preserve"> </w:t>
            </w:r>
          </w:p>
          <w:p w14:paraId="3345642D" w14:textId="5D431D1A" w:rsidR="005D4E3C" w:rsidRPr="00A41B1C" w:rsidRDefault="00A41B1C" w:rsidP="005D4E3C">
            <w:pPr>
              <w:widowControl w:val="0"/>
              <w:rPr>
                <w:rFonts w:ascii="TimesNewRomanPSMT" w:eastAsiaTheme="minorHAnsi" w:hAnsi="TimesNewRomanPSMT" w:cs="TimesNewRomanPSMT"/>
                <w:i/>
                <w:color w:val="000000"/>
                <w:lang w:eastAsia="en-US"/>
              </w:rPr>
            </w:pPr>
            <w:r w:rsidRPr="00A41B1C">
              <w:rPr>
                <w:rFonts w:ascii="TimesNewRomanPSMT" w:eastAsiaTheme="minorHAnsi" w:hAnsi="TimesNewRomanPSMT" w:cs="TimesNewRomanPSMT"/>
                <w:i/>
                <w:color w:val="000000"/>
                <w:lang w:eastAsia="en-US"/>
              </w:rPr>
              <w:t>«Заполнить»</w:t>
            </w:r>
          </w:p>
          <w:p w14:paraId="0820DE67" w14:textId="77777777" w:rsidR="005D4E3C" w:rsidRPr="00A41B1C" w:rsidRDefault="005D4E3C" w:rsidP="005D4E3C">
            <w:pPr>
              <w:widowControl w:val="0"/>
              <w:rPr>
                <w:rFonts w:ascii="TimesNewRomanPSMT" w:eastAsiaTheme="minorHAnsi" w:hAnsi="TimesNewRomanPSMT" w:cs="TimesNewRomanPSMT"/>
                <w:i/>
                <w:color w:val="000000"/>
                <w:lang w:eastAsia="en-US"/>
              </w:rPr>
            </w:pPr>
          </w:p>
          <w:p w14:paraId="7000D6E7" w14:textId="77777777" w:rsidR="005D4E3C" w:rsidRPr="00A41B1C" w:rsidRDefault="005D4E3C" w:rsidP="005D4E3C">
            <w:pPr>
              <w:widowControl w:val="0"/>
              <w:rPr>
                <w:rFonts w:ascii="TimesNewRomanPSMT" w:eastAsiaTheme="minorHAnsi" w:hAnsi="TimesNewRomanPSMT" w:cs="TimesNewRomanPSMT"/>
                <w:i/>
                <w:color w:val="000000"/>
                <w:lang w:eastAsia="en-US"/>
              </w:rPr>
            </w:pPr>
          </w:p>
          <w:p w14:paraId="6B4152AD" w14:textId="77777777" w:rsidR="005D4E3C" w:rsidRPr="00A41B1C" w:rsidRDefault="005D4E3C" w:rsidP="005D4E3C">
            <w:pPr>
              <w:widowControl w:val="0"/>
              <w:rPr>
                <w:rFonts w:ascii="TimesNewRomanPSMT" w:eastAsiaTheme="minorHAnsi" w:hAnsi="TimesNewRomanPSMT" w:cs="TimesNewRomanPSMT"/>
                <w:i/>
                <w:color w:val="000000"/>
                <w:lang w:eastAsia="en-US"/>
              </w:rPr>
            </w:pPr>
          </w:p>
          <w:p w14:paraId="1B328B90" w14:textId="77777777" w:rsidR="005D4E3C" w:rsidRPr="00A41B1C" w:rsidRDefault="005D4E3C" w:rsidP="005D4E3C">
            <w:pPr>
              <w:widowControl w:val="0"/>
              <w:rPr>
                <w:rFonts w:ascii="TimesNewRomanPSMT" w:eastAsiaTheme="minorHAnsi" w:hAnsi="TimesNewRomanPSMT" w:cs="TimesNewRomanPSMT"/>
                <w:i/>
                <w:color w:val="000000"/>
                <w:lang w:eastAsia="en-US"/>
              </w:rPr>
            </w:pPr>
          </w:p>
          <w:p w14:paraId="7D20C4FD" w14:textId="77777777" w:rsidR="005D4E3C" w:rsidRPr="00A41B1C" w:rsidRDefault="005D4E3C" w:rsidP="005D4E3C">
            <w:pPr>
              <w:widowControl w:val="0"/>
              <w:rPr>
                <w:rFonts w:ascii="TimesNewRomanPSMT" w:eastAsiaTheme="minorHAnsi" w:hAnsi="TimesNewRomanPSMT" w:cs="TimesNewRomanPSMT"/>
                <w:i/>
                <w:color w:val="000000"/>
                <w:lang w:eastAsia="en-US"/>
              </w:rPr>
            </w:pPr>
          </w:p>
          <w:p w14:paraId="384D16BA" w14:textId="77777777" w:rsidR="00A41B1C" w:rsidRPr="00A41B1C" w:rsidRDefault="00A41B1C" w:rsidP="005D4E3C">
            <w:pPr>
              <w:widowControl w:val="0"/>
              <w:rPr>
                <w:rFonts w:ascii="TimesNewRomanPSMT" w:eastAsiaTheme="minorHAnsi" w:hAnsi="TimesNewRomanPSMT" w:cs="TimesNewRomanPSMT"/>
                <w:i/>
                <w:color w:val="000000"/>
                <w:lang w:eastAsia="en-US"/>
              </w:rPr>
            </w:pPr>
          </w:p>
          <w:p w14:paraId="006DA07D" w14:textId="77777777" w:rsidR="00A41B1C" w:rsidRPr="00A41B1C" w:rsidRDefault="00A41B1C" w:rsidP="005D4E3C">
            <w:pPr>
              <w:widowControl w:val="0"/>
              <w:rPr>
                <w:rFonts w:ascii="TimesNewRomanPSMT" w:eastAsiaTheme="minorHAnsi" w:hAnsi="TimesNewRomanPSMT" w:cs="TimesNewRomanPSMT"/>
                <w:i/>
                <w:color w:val="000000"/>
                <w:lang w:eastAsia="en-US"/>
              </w:rPr>
            </w:pPr>
          </w:p>
          <w:p w14:paraId="08B27EC8" w14:textId="77777777" w:rsidR="00A41B1C" w:rsidRPr="00A41B1C" w:rsidRDefault="00A41B1C" w:rsidP="005D4E3C">
            <w:pPr>
              <w:widowControl w:val="0"/>
              <w:rPr>
                <w:rFonts w:ascii="TimesNewRomanPSMT" w:eastAsiaTheme="minorHAnsi" w:hAnsi="TimesNewRomanPSMT" w:cs="TimesNewRomanPSMT"/>
                <w:i/>
                <w:color w:val="000000"/>
                <w:lang w:eastAsia="en-US"/>
              </w:rPr>
            </w:pPr>
          </w:p>
          <w:p w14:paraId="42B667F1" w14:textId="77777777" w:rsidR="00A41B1C" w:rsidRPr="00A41B1C" w:rsidRDefault="00A41B1C" w:rsidP="005D4E3C">
            <w:pPr>
              <w:widowControl w:val="0"/>
              <w:rPr>
                <w:rFonts w:ascii="TimesNewRomanPSMT" w:eastAsiaTheme="minorHAnsi" w:hAnsi="TimesNewRomanPSMT" w:cs="TimesNewRomanPSMT"/>
                <w:i/>
                <w:color w:val="000000"/>
                <w:lang w:eastAsia="en-US"/>
              </w:rPr>
            </w:pPr>
          </w:p>
          <w:p w14:paraId="04A3574C" w14:textId="1C277F77" w:rsidR="00D312A3" w:rsidRPr="00A41B1C" w:rsidRDefault="00A41B1C" w:rsidP="005D4E3C">
            <w:pPr>
              <w:widowControl w:val="0"/>
              <w:rPr>
                <w:rFonts w:ascii="TimesNewRomanPSMT" w:eastAsiaTheme="minorHAnsi" w:hAnsi="TimesNewRomanPSMT" w:cs="TimesNewRomanPSMT"/>
                <w:i/>
                <w:color w:val="000000"/>
                <w:lang w:eastAsia="en-US"/>
              </w:rPr>
            </w:pPr>
            <w:r w:rsidRPr="00A41B1C">
              <w:rPr>
                <w:rFonts w:ascii="TimesNewRomanPSMT" w:eastAsiaTheme="minorHAnsi" w:hAnsi="TimesNewRomanPSMT" w:cs="TimesNewRomanPSMT"/>
                <w:i/>
                <w:color w:val="000000"/>
                <w:lang w:eastAsia="en-US"/>
              </w:rPr>
              <w:t xml:space="preserve"> </w:t>
            </w:r>
          </w:p>
          <w:p w14:paraId="4309783B" w14:textId="30714569" w:rsidR="00D312A3" w:rsidRPr="00A41B1C" w:rsidRDefault="00D312A3" w:rsidP="00A41B1C">
            <w:pPr>
              <w:widowControl w:val="0"/>
              <w:rPr>
                <w:i/>
              </w:rPr>
            </w:pPr>
          </w:p>
        </w:tc>
        <w:tc>
          <w:tcPr>
            <w:tcW w:w="864" w:type="dxa"/>
            <w:tcBorders>
              <w:right w:val="nil"/>
            </w:tcBorders>
          </w:tcPr>
          <w:p w14:paraId="5D565722" w14:textId="5DCCB1B9" w:rsidR="00D312A3" w:rsidRDefault="005D4E3C" w:rsidP="005D4E3C">
            <w:pPr>
              <w:widowControl w:val="0"/>
              <w:rPr>
                <w:rFonts w:eastAsia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3</w:t>
            </w:r>
          </w:p>
        </w:tc>
        <w:tc>
          <w:tcPr>
            <w:tcW w:w="1618" w:type="dxa"/>
            <w:tcBorders>
              <w:right w:val="nil"/>
            </w:tcBorders>
          </w:tcPr>
          <w:p w14:paraId="54599C2D" w14:textId="1163EC88" w:rsidR="00D312A3" w:rsidRPr="00A41B1C" w:rsidRDefault="00A41B1C" w:rsidP="005D4E3C">
            <w:pPr>
              <w:widowControl w:val="0"/>
              <w:jc w:val="center"/>
              <w:rPr>
                <w:i/>
              </w:rPr>
            </w:pPr>
            <w:r w:rsidRPr="00A41B1C">
              <w:rPr>
                <w:rFonts w:eastAsia="TimesNewRomanPSMT" w:cs="TimesNewRomanPSMT"/>
                <w:i/>
                <w:color w:val="000000"/>
                <w:lang w:eastAsia="en-US"/>
              </w:rPr>
              <w:t>«Заполнить»</w:t>
            </w:r>
            <w:r w:rsidR="005D4E3C" w:rsidRPr="00A41B1C">
              <w:rPr>
                <w:rFonts w:eastAsia="TimesNewRomanPSMT" w:cs="TimesNewRomanPSMT"/>
                <w:i/>
                <w:color w:val="000000"/>
                <w:lang w:eastAsia="en-US"/>
              </w:rPr>
              <w:t xml:space="preserve"> </w:t>
            </w:r>
          </w:p>
        </w:tc>
        <w:tc>
          <w:tcPr>
            <w:tcW w:w="968" w:type="dxa"/>
            <w:tcBorders>
              <w:right w:val="nil"/>
            </w:tcBorders>
          </w:tcPr>
          <w:p w14:paraId="0CC9489C" w14:textId="608EAA47" w:rsidR="00D312A3" w:rsidRDefault="00D312A3" w:rsidP="005D4E3C">
            <w:pPr>
              <w:widowControl w:val="0"/>
              <w:jc w:val="center"/>
            </w:pPr>
            <w:r>
              <w:rPr>
                <w:rFonts w:ascii="TimesNewRomanPSMT" w:eastAsiaTheme="minorHAnsi" w:hAnsi="TimesNewRomanPSMT" w:cs="TimesNewRomanPSMT"/>
                <w:color w:val="000000"/>
                <w:lang w:eastAsia="en-US"/>
              </w:rPr>
              <w:t>0</w:t>
            </w:r>
          </w:p>
        </w:tc>
        <w:tc>
          <w:tcPr>
            <w:tcW w:w="1481" w:type="dxa"/>
            <w:vMerge/>
            <w:tcBorders>
              <w:right w:val="nil"/>
            </w:tcBorders>
          </w:tcPr>
          <w:p w14:paraId="20F34F7B" w14:textId="77777777" w:rsidR="00D312A3" w:rsidRDefault="00D312A3" w:rsidP="005D4E3C">
            <w:pPr>
              <w:widowControl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  <w:tc>
          <w:tcPr>
            <w:tcW w:w="1473" w:type="dxa"/>
            <w:vMerge/>
          </w:tcPr>
          <w:p w14:paraId="313CEE1D" w14:textId="77777777" w:rsidR="00D312A3" w:rsidRDefault="00D312A3" w:rsidP="005D4E3C">
            <w:pPr>
              <w:widowControl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</w:tr>
      <w:tr w:rsidR="005D4E3C" w14:paraId="023DA3A7" w14:textId="77777777" w:rsidTr="00A41B1C">
        <w:trPr>
          <w:gridAfter w:val="8"/>
          <w:wAfter w:w="12540" w:type="dxa"/>
          <w:trHeight w:val="276"/>
        </w:trPr>
        <w:tc>
          <w:tcPr>
            <w:tcW w:w="577" w:type="dxa"/>
            <w:vMerge/>
          </w:tcPr>
          <w:p w14:paraId="69B7B36C" w14:textId="77777777" w:rsidR="005D4E3C" w:rsidRDefault="005D4E3C" w:rsidP="005D4E3C">
            <w:pPr>
              <w:widowControl w:val="0"/>
              <w:jc w:val="center"/>
            </w:pPr>
          </w:p>
        </w:tc>
        <w:tc>
          <w:tcPr>
            <w:tcW w:w="1739" w:type="dxa"/>
            <w:vMerge/>
          </w:tcPr>
          <w:p w14:paraId="476B1F22" w14:textId="77777777" w:rsidR="005D4E3C" w:rsidRDefault="005D4E3C" w:rsidP="005D4E3C">
            <w:pPr>
              <w:widowControl w:val="0"/>
              <w:rPr>
                <w:rFonts w:eastAsia="TimesNewRomanPSMT"/>
                <w:lang w:eastAsia="en-US"/>
              </w:rPr>
            </w:pPr>
          </w:p>
        </w:tc>
      </w:tr>
      <w:tr w:rsidR="005D4E3C" w14:paraId="33C5C6F9" w14:textId="77777777" w:rsidTr="00A41B1C">
        <w:trPr>
          <w:gridAfter w:val="8"/>
          <w:wAfter w:w="12540" w:type="dxa"/>
          <w:trHeight w:val="276"/>
        </w:trPr>
        <w:tc>
          <w:tcPr>
            <w:tcW w:w="577" w:type="dxa"/>
            <w:vMerge/>
          </w:tcPr>
          <w:p w14:paraId="11BBF305" w14:textId="77777777" w:rsidR="005D4E3C" w:rsidRDefault="005D4E3C" w:rsidP="005D4E3C">
            <w:pPr>
              <w:widowControl w:val="0"/>
              <w:jc w:val="center"/>
            </w:pPr>
          </w:p>
        </w:tc>
        <w:tc>
          <w:tcPr>
            <w:tcW w:w="1739" w:type="dxa"/>
            <w:vMerge/>
          </w:tcPr>
          <w:p w14:paraId="7266C6E1" w14:textId="77777777" w:rsidR="005D4E3C" w:rsidRDefault="005D4E3C" w:rsidP="005D4E3C">
            <w:pPr>
              <w:widowControl w:val="0"/>
              <w:rPr>
                <w:rFonts w:eastAsia="TimesNewRomanPSMT"/>
                <w:lang w:eastAsia="en-US"/>
              </w:rPr>
            </w:pPr>
          </w:p>
        </w:tc>
      </w:tr>
      <w:tr w:rsidR="005D4E3C" w14:paraId="22BFCF24" w14:textId="77777777" w:rsidTr="00A41B1C">
        <w:trPr>
          <w:gridAfter w:val="8"/>
          <w:wAfter w:w="12540" w:type="dxa"/>
          <w:trHeight w:val="276"/>
        </w:trPr>
        <w:tc>
          <w:tcPr>
            <w:tcW w:w="577" w:type="dxa"/>
            <w:vMerge/>
          </w:tcPr>
          <w:p w14:paraId="288C0136" w14:textId="77777777" w:rsidR="005D4E3C" w:rsidRDefault="005D4E3C" w:rsidP="005D4E3C">
            <w:pPr>
              <w:widowControl w:val="0"/>
              <w:jc w:val="center"/>
            </w:pPr>
          </w:p>
        </w:tc>
        <w:tc>
          <w:tcPr>
            <w:tcW w:w="1739" w:type="dxa"/>
            <w:vMerge/>
          </w:tcPr>
          <w:p w14:paraId="1E17411F" w14:textId="77777777" w:rsidR="005D4E3C" w:rsidRDefault="005D4E3C" w:rsidP="005D4E3C">
            <w:pPr>
              <w:widowControl w:val="0"/>
            </w:pPr>
          </w:p>
        </w:tc>
      </w:tr>
      <w:tr w:rsidR="005D4E3C" w14:paraId="70480B2B" w14:textId="77777777" w:rsidTr="00A41B1C">
        <w:trPr>
          <w:gridAfter w:val="8"/>
          <w:wAfter w:w="12540" w:type="dxa"/>
          <w:trHeight w:val="276"/>
        </w:trPr>
        <w:tc>
          <w:tcPr>
            <w:tcW w:w="577" w:type="dxa"/>
            <w:vMerge/>
          </w:tcPr>
          <w:p w14:paraId="337A585E" w14:textId="77777777" w:rsidR="005D4E3C" w:rsidRDefault="005D4E3C" w:rsidP="005D4E3C">
            <w:pPr>
              <w:widowControl w:val="0"/>
              <w:jc w:val="center"/>
            </w:pPr>
          </w:p>
        </w:tc>
        <w:tc>
          <w:tcPr>
            <w:tcW w:w="1739" w:type="dxa"/>
            <w:vMerge/>
          </w:tcPr>
          <w:p w14:paraId="779CE224" w14:textId="77777777" w:rsidR="005D4E3C" w:rsidRDefault="005D4E3C" w:rsidP="005D4E3C">
            <w:pPr>
              <w:widowControl w:val="0"/>
            </w:pPr>
          </w:p>
        </w:tc>
      </w:tr>
    </w:tbl>
    <w:p w14:paraId="6C9484E5" w14:textId="490BC8F1" w:rsidR="0086424C" w:rsidRDefault="005D4E3C">
      <w:r>
        <w:br w:type="textWrapping" w:clear="all"/>
      </w:r>
      <w:bookmarkStart w:id="0" w:name="_GoBack"/>
      <w:bookmarkEnd w:id="0"/>
    </w:p>
    <w:sectPr w:rsidR="0086424C" w:rsidSect="005D4E3C">
      <w:pgSz w:w="16838" w:h="11906" w:orient="landscape"/>
      <w:pgMar w:top="709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4C"/>
    <w:rsid w:val="00145AF4"/>
    <w:rsid w:val="003F0E07"/>
    <w:rsid w:val="005D4E3C"/>
    <w:rsid w:val="007C105E"/>
    <w:rsid w:val="0086424C"/>
    <w:rsid w:val="00A41B1C"/>
    <w:rsid w:val="00D3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3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80EF1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80EF1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99"/>
    <w:rsid w:val="00C809D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80EF1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80EF1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99"/>
    <w:rsid w:val="00C809D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2025-02-22T12:48:00Z</dcterms:created>
  <dcterms:modified xsi:type="dcterms:W3CDTF">2025-02-22T12:48:00Z</dcterms:modified>
  <dc:language>ru-RU</dc:language>
</cp:coreProperties>
</file>